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31DB" w14:textId="06744E0A" w:rsidR="002F5571" w:rsidRPr="002F5571" w:rsidRDefault="002F5571" w:rsidP="002F5571">
      <w:pPr>
        <w:rPr>
          <w:b/>
          <w:bCs/>
        </w:rPr>
      </w:pPr>
      <w:r w:rsidRPr="002F5571">
        <w:rPr>
          <w:b/>
          <w:bCs/>
        </w:rPr>
        <w:t>Elektrolity</w:t>
      </w:r>
      <w:r>
        <w:rPr>
          <w:b/>
          <w:bCs/>
        </w:rPr>
        <w:t xml:space="preserve"> </w:t>
      </w:r>
      <w:r w:rsidRPr="002F5571">
        <w:rPr>
          <w:b/>
          <w:bCs/>
        </w:rPr>
        <w:t>10 Minerałów</w:t>
      </w:r>
    </w:p>
    <w:p w14:paraId="24E161B2" w14:textId="77777777" w:rsidR="002F5571" w:rsidRPr="002F5571" w:rsidRDefault="002F5571" w:rsidP="002F5571">
      <w:r w:rsidRPr="002F5571">
        <w:rPr>
          <w:i/>
          <w:iCs/>
        </w:rPr>
        <w:t>Wyjątkowo bogaty skład, bez cukru</w:t>
      </w:r>
    </w:p>
    <w:p w14:paraId="756DB9E9" w14:textId="77777777" w:rsidR="002F5571" w:rsidRPr="002F5571" w:rsidRDefault="002F5571" w:rsidP="002F5571">
      <w:r w:rsidRPr="002F5571">
        <w:t>Do stosowania podczas:</w:t>
      </w:r>
    </w:p>
    <w:p w14:paraId="0D820E18" w14:textId="77777777" w:rsidR="002F5571" w:rsidRPr="002F5571" w:rsidRDefault="002F5571" w:rsidP="002F5571">
      <w:pPr>
        <w:numPr>
          <w:ilvl w:val="0"/>
          <w:numId w:val="1"/>
        </w:numPr>
      </w:pPr>
      <w:r w:rsidRPr="002F5571">
        <w:t>upałów</w:t>
      </w:r>
    </w:p>
    <w:p w14:paraId="5163584E" w14:textId="77777777" w:rsidR="002F5571" w:rsidRPr="002F5571" w:rsidRDefault="002F5571" w:rsidP="002F5571">
      <w:pPr>
        <w:numPr>
          <w:ilvl w:val="0"/>
          <w:numId w:val="1"/>
        </w:numPr>
      </w:pPr>
      <w:r w:rsidRPr="002F5571">
        <w:t>wysiłku fizycznego</w:t>
      </w:r>
    </w:p>
    <w:p w14:paraId="6B3F7AE8" w14:textId="77777777" w:rsidR="002F5571" w:rsidRPr="002F5571" w:rsidRDefault="002F5571" w:rsidP="002F5571">
      <w:pPr>
        <w:numPr>
          <w:ilvl w:val="0"/>
          <w:numId w:val="1"/>
        </w:numPr>
      </w:pPr>
      <w:r w:rsidRPr="002F5571">
        <w:t>nudności</w:t>
      </w:r>
    </w:p>
    <w:p w14:paraId="7D5AF690" w14:textId="77777777" w:rsidR="002F5571" w:rsidRPr="002F5571" w:rsidRDefault="002F5571" w:rsidP="002F5571">
      <w:pPr>
        <w:numPr>
          <w:ilvl w:val="0"/>
          <w:numId w:val="1"/>
        </w:numPr>
      </w:pPr>
      <w:r w:rsidRPr="002F5571">
        <w:t>spożywania alkoholu</w:t>
      </w:r>
    </w:p>
    <w:p w14:paraId="25B1DBE3" w14:textId="77777777" w:rsidR="002F5571" w:rsidRPr="002F5571" w:rsidRDefault="002F5571" w:rsidP="002F5571">
      <w:pPr>
        <w:numPr>
          <w:ilvl w:val="0"/>
          <w:numId w:val="1"/>
        </w:numPr>
      </w:pPr>
      <w:r w:rsidRPr="002F5571">
        <w:t>biegunki</w:t>
      </w:r>
    </w:p>
    <w:p w14:paraId="73B45EF4" w14:textId="77777777" w:rsidR="002F5571" w:rsidRDefault="002F5571" w:rsidP="002F55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4"/>
        <w:gridCol w:w="1822"/>
        <w:gridCol w:w="1646"/>
        <w:gridCol w:w="1905"/>
        <w:gridCol w:w="1665"/>
      </w:tblGrid>
      <w:tr w:rsidR="002F5571" w14:paraId="3F3CE816" w14:textId="6C6CE7FB" w:rsidTr="002F5571">
        <w:trPr>
          <w:trHeight w:val="408"/>
        </w:trPr>
        <w:tc>
          <w:tcPr>
            <w:tcW w:w="2024" w:type="dxa"/>
          </w:tcPr>
          <w:p w14:paraId="017578D8" w14:textId="77777777" w:rsidR="002F5571" w:rsidRDefault="002F5571" w:rsidP="002F5571"/>
        </w:tc>
        <w:tc>
          <w:tcPr>
            <w:tcW w:w="3468" w:type="dxa"/>
            <w:gridSpan w:val="2"/>
          </w:tcPr>
          <w:p w14:paraId="0B7161B4" w14:textId="09604107" w:rsidR="002F5571" w:rsidRPr="002F5571" w:rsidRDefault="002F5571" w:rsidP="002F5571">
            <w:pPr>
              <w:jc w:val="center"/>
            </w:pPr>
            <w:r w:rsidRPr="002F5571">
              <w:t>2 tabletki</w:t>
            </w:r>
          </w:p>
        </w:tc>
        <w:tc>
          <w:tcPr>
            <w:tcW w:w="3570" w:type="dxa"/>
            <w:gridSpan w:val="2"/>
          </w:tcPr>
          <w:p w14:paraId="290C6DDD" w14:textId="5404FB2D" w:rsidR="002F5571" w:rsidRPr="002F5571" w:rsidRDefault="002F5571" w:rsidP="002F5571">
            <w:pPr>
              <w:jc w:val="center"/>
            </w:pPr>
            <w:r w:rsidRPr="002F5571">
              <w:t>4 tabletki</w:t>
            </w:r>
          </w:p>
        </w:tc>
      </w:tr>
      <w:tr w:rsidR="002F5571" w14:paraId="7F4B5252" w14:textId="5CDF7D7E" w:rsidTr="002F5571">
        <w:tc>
          <w:tcPr>
            <w:tcW w:w="2024" w:type="dxa"/>
          </w:tcPr>
          <w:p w14:paraId="545A2FD2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Potas</w:t>
            </w:r>
          </w:p>
          <w:p w14:paraId="22E963DB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Sód</w:t>
            </w:r>
          </w:p>
          <w:p w14:paraId="6EA896DB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Magnez</w:t>
            </w:r>
          </w:p>
          <w:p w14:paraId="54B048A4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Jod</w:t>
            </w:r>
          </w:p>
          <w:p w14:paraId="09DFA9C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Mangan</w:t>
            </w:r>
          </w:p>
          <w:p w14:paraId="6481D85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Selen</w:t>
            </w:r>
          </w:p>
          <w:p w14:paraId="64565F25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Chrom</w:t>
            </w:r>
          </w:p>
          <w:p w14:paraId="608CF5D7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Cynk</w:t>
            </w:r>
          </w:p>
          <w:p w14:paraId="1AC02C6C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Miedź</w:t>
            </w:r>
          </w:p>
          <w:p w14:paraId="5974F39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Molibden</w:t>
            </w:r>
          </w:p>
          <w:p w14:paraId="76B2B9B4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Chlorek</w:t>
            </w:r>
          </w:p>
          <w:p w14:paraId="418B2F44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Cytrynian</w:t>
            </w:r>
          </w:p>
          <w:p w14:paraId="1EA060C2" w14:textId="3D5C131D" w:rsidR="002F5571" w:rsidRDefault="002F5571" w:rsidP="002F5571">
            <w:pPr>
              <w:spacing w:after="160" w:line="278" w:lineRule="auto"/>
            </w:pPr>
            <w:proofErr w:type="spellStart"/>
            <w:r w:rsidRPr="002F5571">
              <w:t>Jabłczan</w:t>
            </w:r>
            <w:proofErr w:type="spellEnd"/>
          </w:p>
        </w:tc>
        <w:tc>
          <w:tcPr>
            <w:tcW w:w="1822" w:type="dxa"/>
          </w:tcPr>
          <w:p w14:paraId="0EC96E43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374 mg</w:t>
            </w:r>
          </w:p>
          <w:p w14:paraId="6097B52A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536 mg</w:t>
            </w:r>
          </w:p>
          <w:p w14:paraId="370DE845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134 mg</w:t>
            </w:r>
          </w:p>
          <w:p w14:paraId="2B947B01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45 µg</w:t>
            </w:r>
          </w:p>
          <w:p w14:paraId="7A3FAA54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0,62 mg</w:t>
            </w:r>
          </w:p>
          <w:p w14:paraId="777657F7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17 µg</w:t>
            </w:r>
          </w:p>
          <w:p w14:paraId="12199DE3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12 µg</w:t>
            </w:r>
          </w:p>
          <w:p w14:paraId="7BCACA61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3,12 mg</w:t>
            </w:r>
          </w:p>
          <w:p w14:paraId="2DC2DEEE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0,32 mg</w:t>
            </w:r>
          </w:p>
          <w:p w14:paraId="27EF1552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16 µg</w:t>
            </w:r>
          </w:p>
          <w:p w14:paraId="1A11C1DC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144 mg</w:t>
            </w:r>
          </w:p>
          <w:p w14:paraId="3646CAF2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3100 mg</w:t>
            </w:r>
          </w:p>
          <w:p w14:paraId="54E47E54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500 mg</w:t>
            </w:r>
          </w:p>
          <w:p w14:paraId="09ACBCA9" w14:textId="77777777" w:rsidR="002F5571" w:rsidRDefault="002F5571" w:rsidP="002F5571">
            <w:pPr>
              <w:jc w:val="right"/>
            </w:pPr>
          </w:p>
        </w:tc>
        <w:tc>
          <w:tcPr>
            <w:tcW w:w="1646" w:type="dxa"/>
          </w:tcPr>
          <w:p w14:paraId="6EFC1908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/18%</w:t>
            </w:r>
          </w:p>
          <w:p w14:paraId="58593886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71DA46D1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/36%</w:t>
            </w:r>
          </w:p>
          <w:p w14:paraId="5DDBAD78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/30%</w:t>
            </w:r>
          </w:p>
          <w:p w14:paraId="4F9AC403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/31%</w:t>
            </w:r>
          </w:p>
          <w:p w14:paraId="7F5E84BF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/31%</w:t>
            </w:r>
          </w:p>
          <w:p w14:paraId="68179589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/30%</w:t>
            </w:r>
          </w:p>
          <w:p w14:paraId="6BD0963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/31%</w:t>
            </w:r>
          </w:p>
          <w:p w14:paraId="3C208A76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/32%</w:t>
            </w:r>
          </w:p>
          <w:p w14:paraId="476CA4B6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/32%</w:t>
            </w:r>
          </w:p>
          <w:p w14:paraId="2DF7BDC6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/18%</w:t>
            </w:r>
          </w:p>
          <w:p w14:paraId="14381EB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47FFE8EA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6B4620E1" w14:textId="77777777" w:rsidR="002F5571" w:rsidRDefault="002F5571" w:rsidP="002F5571">
            <w:pPr>
              <w:jc w:val="center"/>
            </w:pPr>
          </w:p>
        </w:tc>
        <w:tc>
          <w:tcPr>
            <w:tcW w:w="1905" w:type="dxa"/>
          </w:tcPr>
          <w:p w14:paraId="3176C874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748 mg</w:t>
            </w:r>
          </w:p>
          <w:p w14:paraId="34F4CF27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1072 mg</w:t>
            </w:r>
          </w:p>
          <w:p w14:paraId="2EBBC9CF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268 mg</w:t>
            </w:r>
          </w:p>
          <w:p w14:paraId="7539DE57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90 µg</w:t>
            </w:r>
          </w:p>
          <w:p w14:paraId="4813AF22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1,24 mg</w:t>
            </w:r>
          </w:p>
          <w:p w14:paraId="36328B30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34 µg</w:t>
            </w:r>
          </w:p>
          <w:p w14:paraId="4C127020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24 µg</w:t>
            </w:r>
          </w:p>
          <w:p w14:paraId="7A646499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6,24 mg</w:t>
            </w:r>
          </w:p>
          <w:p w14:paraId="78742DC6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0,64 mg</w:t>
            </w:r>
          </w:p>
          <w:p w14:paraId="1C0D1039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32 µg</w:t>
            </w:r>
          </w:p>
          <w:p w14:paraId="3C3427F5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288 mg</w:t>
            </w:r>
          </w:p>
          <w:p w14:paraId="37EDC642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6200 mg</w:t>
            </w:r>
          </w:p>
          <w:p w14:paraId="37DBAD2A" w14:textId="77777777" w:rsidR="002F5571" w:rsidRPr="002F5571" w:rsidRDefault="002F5571" w:rsidP="002F5571">
            <w:pPr>
              <w:spacing w:after="160" w:line="278" w:lineRule="auto"/>
              <w:jc w:val="right"/>
            </w:pPr>
            <w:r w:rsidRPr="002F5571">
              <w:t>1000 mg</w:t>
            </w:r>
          </w:p>
          <w:p w14:paraId="42CE4C20" w14:textId="17BDE6A6" w:rsidR="002F5571" w:rsidRDefault="002F5571" w:rsidP="002F5571">
            <w:pPr>
              <w:jc w:val="center"/>
            </w:pPr>
          </w:p>
        </w:tc>
        <w:tc>
          <w:tcPr>
            <w:tcW w:w="1665" w:type="dxa"/>
          </w:tcPr>
          <w:p w14:paraId="7660C06E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/36%</w:t>
            </w:r>
          </w:p>
          <w:p w14:paraId="78C326CE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71B4ADEF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/72%</w:t>
            </w:r>
          </w:p>
          <w:p w14:paraId="3B81A8D4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/60%</w:t>
            </w:r>
          </w:p>
          <w:p w14:paraId="7836A25B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/62%</w:t>
            </w:r>
          </w:p>
          <w:p w14:paraId="62FF78FD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/62%</w:t>
            </w:r>
          </w:p>
          <w:p w14:paraId="7DD16C88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/60%</w:t>
            </w:r>
          </w:p>
          <w:p w14:paraId="663D8973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/62%</w:t>
            </w:r>
          </w:p>
          <w:p w14:paraId="61CEFE48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/64%</w:t>
            </w:r>
          </w:p>
          <w:p w14:paraId="5CFDF382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/64%</w:t>
            </w:r>
          </w:p>
          <w:p w14:paraId="1573BCE3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/36%</w:t>
            </w:r>
          </w:p>
          <w:p w14:paraId="14221135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79FACF54" w14:textId="77777777" w:rsidR="002F5571" w:rsidRPr="002F5571" w:rsidRDefault="002F5571" w:rsidP="002F5571">
            <w:pPr>
              <w:spacing w:after="160" w:line="278" w:lineRule="auto"/>
            </w:pPr>
            <w:r w:rsidRPr="002F5571">
              <w:t>/</w:t>
            </w:r>
            <w:proofErr w:type="spellStart"/>
            <w:r w:rsidRPr="002F5571">
              <w:t>nu</w:t>
            </w:r>
            <w:proofErr w:type="spellEnd"/>
            <w:r w:rsidRPr="002F5571">
              <w:t>%</w:t>
            </w:r>
          </w:p>
          <w:p w14:paraId="04DE2C2F" w14:textId="77777777" w:rsidR="002F5571" w:rsidRDefault="002F5571" w:rsidP="002F5571">
            <w:pPr>
              <w:jc w:val="center"/>
            </w:pPr>
          </w:p>
        </w:tc>
      </w:tr>
    </w:tbl>
    <w:p w14:paraId="79F1810A" w14:textId="77777777" w:rsidR="002F5571" w:rsidRDefault="002F5571" w:rsidP="002F5571"/>
    <w:p w14:paraId="596344EE" w14:textId="77777777" w:rsidR="002F5571" w:rsidRPr="002F5571" w:rsidRDefault="002F5571" w:rsidP="002F5571">
      <w:r w:rsidRPr="002F5571">
        <w:t xml:space="preserve">% Referencyjnej Wartości Spożycia. </w:t>
      </w:r>
      <w:proofErr w:type="spellStart"/>
      <w:r w:rsidRPr="002F5571">
        <w:t>nu</w:t>
      </w:r>
      <w:proofErr w:type="spellEnd"/>
      <w:r w:rsidRPr="002F5571">
        <w:t xml:space="preserve"> – nie ustanowiono</w:t>
      </w:r>
    </w:p>
    <w:p w14:paraId="64212BE2" w14:textId="77777777" w:rsidR="002F5571" w:rsidRPr="002F5571" w:rsidRDefault="002F5571" w:rsidP="002F5571">
      <w:r w:rsidRPr="002F5571">
        <w:rPr>
          <w:b/>
          <w:bCs/>
        </w:rPr>
        <w:t>Składniki : </w:t>
      </w:r>
      <w:r w:rsidRPr="002F5571">
        <w:t xml:space="preserve">regulator kwasowości: kwas cytrynowy , wodorowęglan sodu, wodorowęglan potasu, kwas jabłkowy, węglan magnezu, naturalny aromat, chlorek potasu, cytrynian magnezu, barwniki naturalne: koncentrat z czerwonego buraka i karoteny, substancje </w:t>
      </w:r>
      <w:r w:rsidRPr="002F5571">
        <w:lastRenderedPageBreak/>
        <w:t xml:space="preserve">słodzące naturalne: glikozydy </w:t>
      </w:r>
      <w:proofErr w:type="spellStart"/>
      <w:r w:rsidRPr="002F5571">
        <w:t>stewiolowe</w:t>
      </w:r>
      <w:proofErr w:type="spellEnd"/>
      <w:r w:rsidRPr="002F5571">
        <w:t xml:space="preserve"> ze stewii i </w:t>
      </w:r>
      <w:proofErr w:type="spellStart"/>
      <w:r w:rsidRPr="002F5571">
        <w:t>taumatyna</w:t>
      </w:r>
      <w:proofErr w:type="spellEnd"/>
      <w:r w:rsidRPr="002F5571">
        <w:t xml:space="preserve">, siarczan manganu, </w:t>
      </w:r>
      <w:proofErr w:type="spellStart"/>
      <w:r w:rsidRPr="002F5571">
        <w:t>selenin</w:t>
      </w:r>
      <w:proofErr w:type="spellEnd"/>
      <w:r w:rsidRPr="002F5571">
        <w:t xml:space="preserve"> sodu IV, chlorek chromu III, siarczan cynku, siarczan miedzi II, molibdenian sodu VI, jodek potasu.</w:t>
      </w:r>
    </w:p>
    <w:p w14:paraId="679D6BC5" w14:textId="77777777" w:rsidR="002F5571" w:rsidRPr="002F5571" w:rsidRDefault="002F5571" w:rsidP="002F5571">
      <w:hyperlink r:id="rId5" w:history="1">
        <w:r w:rsidRPr="002F5571">
          <w:rPr>
            <w:rStyle w:val="Hipercze"/>
          </w:rPr>
          <w:t>Zobacz działanie składników</w:t>
        </w:r>
      </w:hyperlink>
    </w:p>
    <w:p w14:paraId="1D3C4946" w14:textId="77777777" w:rsidR="002F5571" w:rsidRPr="002F5571" w:rsidRDefault="002F5571" w:rsidP="002F5571">
      <w:pPr>
        <w:rPr>
          <w:b/>
          <w:bCs/>
        </w:rPr>
      </w:pPr>
      <w:r w:rsidRPr="002F5571">
        <w:rPr>
          <w:b/>
          <w:bCs/>
        </w:rPr>
        <w:t>Ostrzeżenia</w:t>
      </w:r>
    </w:p>
    <w:p w14:paraId="2CD3BAB4" w14:textId="77777777" w:rsidR="002F5571" w:rsidRPr="002F5571" w:rsidRDefault="002F5571" w:rsidP="002F5571">
      <w:r w:rsidRPr="002F5571">
        <w:t>Suplement diety nie może być stosowany jako substytut zróżnicowanej diety.</w:t>
      </w:r>
    </w:p>
    <w:p w14:paraId="51AE4EAD" w14:textId="77777777" w:rsidR="002F5571" w:rsidRPr="002F5571" w:rsidRDefault="002F5571" w:rsidP="002F5571">
      <w:r w:rsidRPr="002F5571">
        <w:t>Nie przekraczać zalecanej porcji dziennej.</w:t>
      </w:r>
    </w:p>
    <w:p w14:paraId="270D2109" w14:textId="77777777" w:rsidR="002F5571" w:rsidRPr="002F5571" w:rsidRDefault="002F5571" w:rsidP="002F5571">
      <w:r w:rsidRPr="002F5571">
        <w:t>Zrównoważony sposób żywienia i zdrowy tryb życia jest ważny dla funkcjonowania organizmu.</w:t>
      </w:r>
    </w:p>
    <w:p w14:paraId="3DB9161C" w14:textId="77777777" w:rsidR="002F5571" w:rsidRPr="002F5571" w:rsidRDefault="002F5571" w:rsidP="002F5571">
      <w:pPr>
        <w:rPr>
          <w:b/>
          <w:bCs/>
        </w:rPr>
      </w:pPr>
      <w:r w:rsidRPr="002F5571">
        <w:rPr>
          <w:b/>
          <w:bCs/>
        </w:rPr>
        <w:t>Przechowywanie</w:t>
      </w:r>
    </w:p>
    <w:p w14:paraId="009200B9" w14:textId="77777777" w:rsidR="002F5571" w:rsidRPr="002F5571" w:rsidRDefault="002F5571" w:rsidP="002F5571">
      <w:r w:rsidRPr="002F5571">
        <w:t xml:space="preserve">Preparat </w:t>
      </w:r>
      <w:proofErr w:type="spellStart"/>
      <w:r w:rsidRPr="002F5571">
        <w:t>nalezy</w:t>
      </w:r>
      <w:proofErr w:type="spellEnd"/>
      <w:r w:rsidRPr="002F5571">
        <w:t xml:space="preserve"> chronić przed bezpośrednim światłem, przechowywać w suchym miejscu, w oryginalnym opakowaniu, w temperaturze poniżej 25°C w sposób niedostępny dla małych dzieci.</w:t>
      </w:r>
    </w:p>
    <w:p w14:paraId="7C3276CB" w14:textId="77777777" w:rsidR="002F5571" w:rsidRPr="002F5571" w:rsidRDefault="002F5571" w:rsidP="002F5571">
      <w:pPr>
        <w:rPr>
          <w:b/>
          <w:bCs/>
        </w:rPr>
      </w:pPr>
      <w:r w:rsidRPr="002F5571">
        <w:rPr>
          <w:b/>
          <w:bCs/>
        </w:rPr>
        <w:t>Sposób użycia</w:t>
      </w:r>
    </w:p>
    <w:p w14:paraId="370455CA" w14:textId="77777777" w:rsidR="002F5571" w:rsidRPr="002F5571" w:rsidRDefault="002F5571" w:rsidP="002F5571">
      <w:r w:rsidRPr="002F5571">
        <w:t>1 tabletkę rozpuścić w 250 ml chłodnej wody. Stosować 2-4 razy dziennie.</w:t>
      </w:r>
    </w:p>
    <w:p w14:paraId="0761D445" w14:textId="77777777" w:rsidR="002F5571" w:rsidRDefault="002F5571"/>
    <w:sectPr w:rsidR="002F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62AE"/>
    <w:multiLevelType w:val="multilevel"/>
    <w:tmpl w:val="D34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15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1"/>
    <w:rsid w:val="000F4DD6"/>
    <w:rsid w:val="002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C32C"/>
  <w15:chartTrackingRefBased/>
  <w15:docId w15:val="{EAF95CE1-6847-4A1E-B2D1-106A9FF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5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5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5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5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5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5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55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5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55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5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5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55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5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88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9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242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6" w:space="0" w:color="174B9B"/>
              </w:divBdr>
              <w:divsChild>
                <w:div w:id="1290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261471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3032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856651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6" w:space="0" w:color="174B9B"/>
              </w:divBdr>
              <w:divsChild>
                <w:div w:id="1644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83104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154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689249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21433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6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2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7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32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950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6" w:space="0" w:color="174B9B"/>
              </w:divBdr>
              <w:divsChild>
                <w:div w:id="1601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81567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1999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63914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6" w:space="0" w:color="174B9B"/>
              </w:divBdr>
              <w:divsChild>
                <w:div w:id="1299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200093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11312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598560">
              <w:marLeft w:val="0"/>
              <w:marRight w:val="0"/>
              <w:marTop w:val="0"/>
              <w:marBottom w:val="0"/>
              <w:divBdr>
                <w:top w:val="single" w:sz="2" w:space="0" w:color="174B9B"/>
                <w:left w:val="single" w:sz="2" w:space="0" w:color="174B9B"/>
                <w:bottom w:val="single" w:sz="2" w:space="0" w:color="174B9B"/>
                <w:right w:val="single" w:sz="2" w:space="0" w:color="174B9B"/>
              </w:divBdr>
              <w:divsChild>
                <w:div w:id="1857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5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3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39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9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5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1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3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phar.pl/?page_id=5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2024-08-21T20:31:00Z</dcterms:created>
  <dcterms:modified xsi:type="dcterms:W3CDTF">2024-08-21T20:37:00Z</dcterms:modified>
</cp:coreProperties>
</file>